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1705F" w14:textId="77777777" w:rsidR="00503FF3" w:rsidRPr="009E0F8F" w:rsidRDefault="00503FF3" w:rsidP="00503FF3">
      <w:pPr>
        <w:pStyle w:val="Standard"/>
        <w:spacing w:before="240" w:after="2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E0F8F">
        <w:rPr>
          <w:rFonts w:asciiTheme="minorHAnsi" w:hAnsiTheme="minorHAnsi" w:cstheme="minorHAnsi"/>
          <w:b/>
          <w:bCs/>
          <w:sz w:val="28"/>
          <w:szCs w:val="28"/>
        </w:rPr>
        <w:t>Strumentazioni Core facilities DISBSP</w:t>
      </w:r>
    </w:p>
    <w:p w14:paraId="33F73BF5" w14:textId="2F35B1D3" w:rsidR="00410A21" w:rsidRPr="009E0F8F" w:rsidRDefault="00410A21" w:rsidP="00503FF3">
      <w:pPr>
        <w:widowControl/>
        <w:shd w:val="clear" w:color="auto" w:fill="FFFFFF"/>
        <w:suppressAutoHyphens w:val="0"/>
        <w:autoSpaceDN/>
        <w:spacing w:after="150"/>
        <w:ind w:firstLine="708"/>
        <w:jc w:val="center"/>
        <w:textAlignment w:val="auto"/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</w:pPr>
      <w:r w:rsidRPr="00C0599E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>Area Microscopia</w:t>
      </w:r>
      <w:r w:rsidRPr="009E0F8F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 xml:space="preserve"> Confocale</w:t>
      </w:r>
      <w:r w:rsidR="00504D0B" w:rsidRPr="009E0F8F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 xml:space="preserve">, </w:t>
      </w:r>
      <w:r w:rsidR="00A7173C" w:rsidRPr="009E0F8F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>E</w:t>
      </w:r>
      <w:r w:rsidRPr="009E0F8F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>lettronica</w:t>
      </w:r>
    </w:p>
    <w:p w14:paraId="2345E591" w14:textId="282011A2" w:rsidR="00410A21" w:rsidRPr="00C0599E" w:rsidRDefault="00504D0B" w:rsidP="00503FF3">
      <w:pPr>
        <w:widowControl/>
        <w:shd w:val="clear" w:color="auto" w:fill="FFFFFF"/>
        <w:suppressAutoHyphens w:val="0"/>
        <w:autoSpaceDN/>
        <w:spacing w:after="150"/>
        <w:ind w:left="708"/>
        <w:jc w:val="center"/>
        <w:textAlignment w:val="auto"/>
        <w:rPr>
          <w:rFonts w:asciiTheme="minorHAnsi" w:eastAsia="Times New Roman" w:hAnsiTheme="minorHAnsi" w:cstheme="minorHAnsi"/>
          <w:color w:val="333333"/>
          <w:kern w:val="0"/>
          <w:sz w:val="40"/>
          <w:szCs w:val="40"/>
          <w:lang w:eastAsia="it-IT"/>
        </w:rPr>
      </w:pPr>
      <w:r w:rsidRPr="009E0F8F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 xml:space="preserve">e </w:t>
      </w:r>
      <w:r w:rsidR="00410A21" w:rsidRPr="009E0F8F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>CLEM</w:t>
      </w:r>
    </w:p>
    <w:p w14:paraId="2532F005" w14:textId="635F20DA" w:rsidR="002F1636" w:rsidRPr="009E0F8F" w:rsidRDefault="00503FF3" w:rsidP="00503FF3">
      <w:pPr>
        <w:pStyle w:val="Standard"/>
        <w:spacing w:before="240" w:after="2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1A042B" w:rsidRPr="009E0F8F">
        <w:rPr>
          <w:rFonts w:asciiTheme="minorHAnsi" w:hAnsiTheme="minorHAnsi" w:cstheme="minorHAnsi"/>
          <w:b/>
          <w:bCs/>
          <w:sz w:val="28"/>
          <w:szCs w:val="28"/>
        </w:rPr>
        <w:t>Regolamento di accesso</w:t>
      </w:r>
    </w:p>
    <w:p w14:paraId="2532F006" w14:textId="77777777" w:rsidR="002F1636" w:rsidRPr="009E0F8F" w:rsidRDefault="002F1636">
      <w:pPr>
        <w:pStyle w:val="Standard"/>
        <w:spacing w:before="240" w:after="280"/>
        <w:jc w:val="both"/>
        <w:rPr>
          <w:rFonts w:asciiTheme="minorHAnsi" w:hAnsiTheme="minorHAnsi" w:cstheme="minorHAnsi"/>
        </w:rPr>
      </w:pPr>
    </w:p>
    <w:p w14:paraId="0FB794AB" w14:textId="77777777" w:rsidR="00503FF3" w:rsidRPr="002B7BEA" w:rsidRDefault="00503FF3" w:rsidP="00A7173C">
      <w:pPr>
        <w:pStyle w:val="Paragrafoelenco"/>
        <w:spacing w:before="240" w:after="280" w:line="240" w:lineRule="auto"/>
        <w:ind w:left="709"/>
        <w:jc w:val="both"/>
        <w:rPr>
          <w:rFonts w:asciiTheme="minorHAnsi" w:eastAsia="Times New Roman" w:hAnsiTheme="minorHAnsi" w:cstheme="minorHAnsi"/>
          <w:b/>
          <w:bCs/>
          <w:color w:val="C00000"/>
          <w:sz w:val="30"/>
          <w:szCs w:val="30"/>
          <w:lang w:eastAsia="it-IT"/>
        </w:rPr>
      </w:pPr>
      <w:r w:rsidRPr="002B7BEA">
        <w:rPr>
          <w:rFonts w:asciiTheme="minorHAnsi" w:eastAsia="Times New Roman" w:hAnsiTheme="minorHAnsi" w:cstheme="minorHAnsi"/>
          <w:b/>
          <w:bCs/>
          <w:color w:val="C00000"/>
          <w:sz w:val="30"/>
          <w:szCs w:val="30"/>
          <w:lang w:eastAsia="it-IT"/>
        </w:rPr>
        <w:t xml:space="preserve">Presentazione </w:t>
      </w:r>
    </w:p>
    <w:p w14:paraId="2532F007" w14:textId="15384D35" w:rsidR="002F1636" w:rsidRPr="009E0F8F" w:rsidRDefault="00D870AA" w:rsidP="00A7173C">
      <w:pPr>
        <w:pStyle w:val="Paragrafoelenco"/>
        <w:spacing w:before="240" w:after="28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 laboratorio di microscopia correlativa CLEM </w:t>
      </w:r>
      <w:r w:rsidR="005177E3">
        <w:rPr>
          <w:rFonts w:asciiTheme="minorHAnsi" w:eastAsia="Times New Roman" w:hAnsiTheme="minorHAnsi" w:cstheme="minorHAnsi"/>
          <w:sz w:val="24"/>
          <w:szCs w:val="24"/>
          <w:lang w:eastAsia="it-IT"/>
        </w:rPr>
        <w:t>svolge attività di ricerca e di servizio. F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ornisce ai ricercatori dell’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il supporto di tecnologie complesse e le competenze necessarie alla progettazione, pianificazione, esecuzione e valutazione di attività di ricerca. Fornisce un supporto per la gestione strategica delle apparecchiature scientifiche, utile anche per proporre 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il Dipartimento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come partner, a livello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nazionale</w:t>
      </w:r>
      <w:r w:rsidR="00503FF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internazionale, in progetti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che richiedano supporto 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tecnologico. 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Resta a supporto </w:t>
      </w:r>
      <w:r w:rsidR="00323DC0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di p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rogetta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zione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svilupp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o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di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nuove </w:t>
      </w:r>
      <w:r w:rsidR="00504D0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metodologie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elabora </w:t>
      </w:r>
      <w:r w:rsidR="00323DC0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 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dati generati dagli strumenti di ricerca</w:t>
      </w:r>
      <w:r w:rsidR="00323DC0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, quando richiesto</w:t>
      </w:r>
      <w:r w:rsidR="001A042B"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. </w:t>
      </w:r>
    </w:p>
    <w:p w14:paraId="42201254" w14:textId="38EE57CE" w:rsidR="00323DC0" w:rsidRPr="009E0F8F" w:rsidRDefault="001A042B" w:rsidP="00A7173C">
      <w:pPr>
        <w:pStyle w:val="Paragrafoelenco"/>
        <w:spacing w:before="240" w:after="28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 xml:space="preserve">Il </w:t>
      </w:r>
      <w:r w:rsidR="005177E3">
        <w:rPr>
          <w:rFonts w:asciiTheme="minorHAnsi" w:hAnsiTheme="minorHAnsi" w:cstheme="minorHAnsi"/>
          <w:sz w:val="24"/>
          <w:szCs w:val="24"/>
        </w:rPr>
        <w:t>Laboratorio</w:t>
      </w:r>
      <w:r w:rsidRPr="009E0F8F">
        <w:rPr>
          <w:rFonts w:asciiTheme="minorHAnsi" w:hAnsiTheme="minorHAnsi" w:cstheme="minorHAnsi"/>
          <w:sz w:val="24"/>
          <w:szCs w:val="24"/>
        </w:rPr>
        <w:t xml:space="preserve"> è organizzato in </w:t>
      </w:r>
      <w:proofErr w:type="gramStart"/>
      <w:r w:rsidR="00323DC0" w:rsidRPr="009E0F8F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323DC0" w:rsidRPr="009E0F8F">
        <w:rPr>
          <w:rFonts w:asciiTheme="minorHAnsi" w:hAnsiTheme="minorHAnsi" w:cstheme="minorHAnsi"/>
          <w:sz w:val="24"/>
          <w:szCs w:val="24"/>
        </w:rPr>
        <w:t xml:space="preserve"> </w:t>
      </w:r>
      <w:r w:rsidRPr="009E0F8F">
        <w:rPr>
          <w:rFonts w:asciiTheme="minorHAnsi" w:hAnsiTheme="minorHAnsi" w:cstheme="minorHAnsi"/>
          <w:sz w:val="24"/>
          <w:szCs w:val="24"/>
        </w:rPr>
        <w:t>aree</w:t>
      </w:r>
      <w:r w:rsidR="00323DC0" w:rsidRPr="009E0F8F">
        <w:rPr>
          <w:rFonts w:asciiTheme="minorHAnsi" w:hAnsiTheme="minorHAnsi" w:cstheme="minorHAnsi"/>
          <w:sz w:val="24"/>
          <w:szCs w:val="24"/>
        </w:rPr>
        <w:t>.</w:t>
      </w:r>
    </w:p>
    <w:p w14:paraId="01AB7337" w14:textId="7BC6B6C8" w:rsidR="00323DC0" w:rsidRPr="009E0F8F" w:rsidRDefault="00323DC0" w:rsidP="003420B0">
      <w:pPr>
        <w:pStyle w:val="Paragrafoelenco"/>
        <w:numPr>
          <w:ilvl w:val="0"/>
          <w:numId w:val="9"/>
        </w:numPr>
        <w:spacing w:before="240" w:after="2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Microscopia ottica:</w:t>
      </w:r>
    </w:p>
    <w:p w14:paraId="47217A36" w14:textId="3EDFCD2A" w:rsidR="00323DC0" w:rsidRPr="009E0F8F" w:rsidRDefault="003420B0" w:rsidP="00323DC0">
      <w:pPr>
        <w:pStyle w:val="Paragrafoelenco"/>
        <w:spacing w:before="240" w:after="280" w:line="24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-</w:t>
      </w:r>
      <w:r w:rsidR="00323DC0" w:rsidRPr="009E0F8F">
        <w:rPr>
          <w:rFonts w:asciiTheme="minorHAnsi" w:hAnsiTheme="minorHAnsi" w:cstheme="minorHAnsi"/>
          <w:sz w:val="24"/>
          <w:szCs w:val="24"/>
        </w:rPr>
        <w:t>Confocale</w:t>
      </w:r>
      <w:r w:rsidR="00690835">
        <w:rPr>
          <w:rFonts w:asciiTheme="minorHAnsi" w:hAnsiTheme="minorHAnsi" w:cstheme="minorHAnsi"/>
          <w:sz w:val="24"/>
          <w:szCs w:val="24"/>
        </w:rPr>
        <w:t xml:space="preserve"> Nikon serie AX</w:t>
      </w:r>
      <w:r w:rsidRPr="009E0F8F">
        <w:rPr>
          <w:rFonts w:asciiTheme="minorHAnsi" w:hAnsiTheme="minorHAnsi" w:cstheme="minorHAnsi"/>
          <w:sz w:val="24"/>
          <w:szCs w:val="24"/>
        </w:rPr>
        <w:t xml:space="preserve"> per preparati fissati e live </w:t>
      </w:r>
      <w:proofErr w:type="spellStart"/>
      <w:r w:rsidRPr="009E0F8F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="00690835">
        <w:rPr>
          <w:rFonts w:asciiTheme="minorHAnsi" w:hAnsiTheme="minorHAnsi" w:cstheme="minorHAnsi"/>
          <w:sz w:val="24"/>
          <w:szCs w:val="24"/>
        </w:rPr>
        <w:t xml:space="preserve"> imaging</w:t>
      </w:r>
      <w:r w:rsidRPr="009E0F8F">
        <w:rPr>
          <w:rFonts w:asciiTheme="minorHAnsi" w:hAnsiTheme="minorHAnsi" w:cstheme="minorHAnsi"/>
          <w:sz w:val="24"/>
          <w:szCs w:val="24"/>
        </w:rPr>
        <w:t>.</w:t>
      </w:r>
    </w:p>
    <w:p w14:paraId="3DDED3DC" w14:textId="39893464" w:rsidR="00323DC0" w:rsidRPr="009E0F8F" w:rsidRDefault="003420B0" w:rsidP="00323DC0">
      <w:pPr>
        <w:pStyle w:val="Paragrafoelenco"/>
        <w:spacing w:before="240" w:after="280" w:line="24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323DC0" w:rsidRPr="009E0F8F">
        <w:rPr>
          <w:rFonts w:asciiTheme="minorHAnsi" w:hAnsiTheme="minorHAnsi" w:cstheme="minorHAnsi"/>
          <w:sz w:val="24"/>
          <w:szCs w:val="24"/>
        </w:rPr>
        <w:t>Microdissettore</w:t>
      </w:r>
      <w:proofErr w:type="spellEnd"/>
      <w:r w:rsidR="00323DC0" w:rsidRPr="009E0F8F">
        <w:rPr>
          <w:rFonts w:asciiTheme="minorHAnsi" w:hAnsiTheme="minorHAnsi" w:cstheme="minorHAnsi"/>
          <w:sz w:val="24"/>
          <w:szCs w:val="24"/>
        </w:rPr>
        <w:t xml:space="preserve"> </w:t>
      </w:r>
      <w:r w:rsidRPr="009E0F8F">
        <w:rPr>
          <w:rFonts w:asciiTheme="minorHAnsi" w:hAnsiTheme="minorHAnsi" w:cstheme="minorHAnsi"/>
          <w:sz w:val="24"/>
          <w:szCs w:val="24"/>
        </w:rPr>
        <w:t>Laser</w:t>
      </w:r>
      <w:r w:rsidR="00690835">
        <w:rPr>
          <w:rFonts w:asciiTheme="minorHAnsi" w:hAnsiTheme="minorHAnsi" w:cstheme="minorHAnsi"/>
          <w:sz w:val="24"/>
          <w:szCs w:val="24"/>
        </w:rPr>
        <w:t xml:space="preserve"> Nikon </w:t>
      </w:r>
    </w:p>
    <w:p w14:paraId="04DDCE83" w14:textId="77777777" w:rsidR="003420B0" w:rsidRPr="009E0F8F" w:rsidRDefault="00323DC0" w:rsidP="00323DC0">
      <w:pPr>
        <w:pStyle w:val="Paragrafoelenco"/>
        <w:numPr>
          <w:ilvl w:val="0"/>
          <w:numId w:val="9"/>
        </w:numPr>
        <w:spacing w:before="240" w:after="2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Microscopia Elettronica</w:t>
      </w:r>
      <w:r w:rsidR="003420B0" w:rsidRPr="009E0F8F">
        <w:rPr>
          <w:rFonts w:asciiTheme="minorHAnsi" w:hAnsiTheme="minorHAnsi" w:cstheme="minorHAnsi"/>
          <w:sz w:val="24"/>
          <w:szCs w:val="24"/>
        </w:rPr>
        <w:t>:</w:t>
      </w:r>
    </w:p>
    <w:p w14:paraId="7C51D2D1" w14:textId="067CEAA4" w:rsidR="003420B0" w:rsidRPr="009E0F8F" w:rsidRDefault="003420B0" w:rsidP="003420B0">
      <w:pPr>
        <w:pStyle w:val="Paragrafoelenco"/>
        <w:spacing w:before="240" w:after="280" w:line="24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 xml:space="preserve">- </w:t>
      </w:r>
      <w:r w:rsidR="009E0F8F">
        <w:rPr>
          <w:rFonts w:asciiTheme="minorHAnsi" w:hAnsiTheme="minorHAnsi" w:cstheme="minorHAnsi"/>
          <w:sz w:val="24"/>
          <w:szCs w:val="24"/>
        </w:rPr>
        <w:t xml:space="preserve">Microscopio a </w:t>
      </w:r>
      <w:r w:rsidRPr="009E0F8F">
        <w:rPr>
          <w:rFonts w:asciiTheme="minorHAnsi" w:hAnsiTheme="minorHAnsi" w:cstheme="minorHAnsi"/>
          <w:sz w:val="24"/>
          <w:szCs w:val="24"/>
        </w:rPr>
        <w:t>scan</w:t>
      </w:r>
      <w:r w:rsidR="005177E3">
        <w:rPr>
          <w:rFonts w:asciiTheme="minorHAnsi" w:hAnsiTheme="minorHAnsi" w:cstheme="minorHAnsi"/>
          <w:sz w:val="24"/>
          <w:szCs w:val="24"/>
        </w:rPr>
        <w:t>s</w:t>
      </w:r>
      <w:r w:rsidRPr="009E0F8F">
        <w:rPr>
          <w:rFonts w:asciiTheme="minorHAnsi" w:hAnsiTheme="minorHAnsi" w:cstheme="minorHAnsi"/>
          <w:sz w:val="24"/>
          <w:szCs w:val="24"/>
        </w:rPr>
        <w:t>ione (FE-</w:t>
      </w:r>
      <w:r w:rsidR="00323DC0" w:rsidRPr="009E0F8F">
        <w:rPr>
          <w:rFonts w:asciiTheme="minorHAnsi" w:hAnsiTheme="minorHAnsi" w:cstheme="minorHAnsi"/>
          <w:sz w:val="24"/>
          <w:szCs w:val="24"/>
        </w:rPr>
        <w:t>SEM</w:t>
      </w:r>
      <w:r w:rsidRPr="009E0F8F">
        <w:rPr>
          <w:rFonts w:asciiTheme="minorHAnsi" w:hAnsiTheme="minorHAnsi" w:cstheme="minorHAnsi"/>
          <w:sz w:val="24"/>
          <w:szCs w:val="24"/>
        </w:rPr>
        <w:t>)</w:t>
      </w:r>
    </w:p>
    <w:p w14:paraId="2532F008" w14:textId="5CB0E64D" w:rsidR="002F1636" w:rsidRPr="009E0F8F" w:rsidRDefault="003420B0" w:rsidP="003420B0">
      <w:pPr>
        <w:pStyle w:val="Paragrafoelenco"/>
        <w:spacing w:before="240" w:after="280" w:line="24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-</w:t>
      </w:r>
      <w:r w:rsidR="00323DC0" w:rsidRPr="009E0F8F">
        <w:rPr>
          <w:rFonts w:asciiTheme="minorHAnsi" w:hAnsiTheme="minorHAnsi" w:cstheme="minorHAnsi"/>
          <w:sz w:val="24"/>
          <w:szCs w:val="24"/>
        </w:rPr>
        <w:t xml:space="preserve"> </w:t>
      </w:r>
      <w:r w:rsidRPr="009E0F8F">
        <w:rPr>
          <w:rFonts w:asciiTheme="minorHAnsi" w:hAnsiTheme="minorHAnsi" w:cstheme="minorHAnsi"/>
          <w:sz w:val="24"/>
          <w:szCs w:val="24"/>
        </w:rPr>
        <w:t xml:space="preserve"> modulo </w:t>
      </w:r>
      <w:r w:rsidR="00323DC0" w:rsidRPr="009E0F8F">
        <w:rPr>
          <w:rFonts w:asciiTheme="minorHAnsi" w:hAnsiTheme="minorHAnsi" w:cstheme="minorHAnsi"/>
          <w:sz w:val="24"/>
          <w:szCs w:val="24"/>
        </w:rPr>
        <w:t xml:space="preserve">STEM </w:t>
      </w:r>
    </w:p>
    <w:p w14:paraId="3D45CD65" w14:textId="36FE0A06" w:rsidR="009E0F8F" w:rsidRPr="009E0F8F" w:rsidRDefault="003420B0" w:rsidP="009E0F8F">
      <w:pPr>
        <w:pStyle w:val="Paragrafoelenco"/>
        <w:spacing w:before="240" w:after="280" w:line="24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-</w:t>
      </w:r>
      <w:r w:rsidR="002B7E11">
        <w:rPr>
          <w:rFonts w:asciiTheme="minorHAnsi" w:hAnsiTheme="minorHAnsi" w:cstheme="minorHAnsi"/>
          <w:sz w:val="24"/>
          <w:szCs w:val="24"/>
        </w:rPr>
        <w:t xml:space="preserve"> </w:t>
      </w:r>
      <w:r w:rsidRPr="009E0F8F">
        <w:rPr>
          <w:rFonts w:asciiTheme="minorHAnsi" w:hAnsiTheme="minorHAnsi" w:cstheme="minorHAnsi"/>
          <w:sz w:val="24"/>
          <w:szCs w:val="24"/>
        </w:rPr>
        <w:t>ED</w:t>
      </w:r>
      <w:r w:rsidR="00690835">
        <w:rPr>
          <w:rFonts w:asciiTheme="minorHAnsi" w:hAnsiTheme="minorHAnsi" w:cstheme="minorHAnsi"/>
          <w:sz w:val="24"/>
          <w:szCs w:val="24"/>
        </w:rPr>
        <w:t>S</w:t>
      </w:r>
      <w:r w:rsidRPr="009E0F8F">
        <w:rPr>
          <w:rFonts w:asciiTheme="minorHAnsi" w:hAnsiTheme="minorHAnsi" w:cstheme="minorHAnsi"/>
          <w:sz w:val="24"/>
          <w:szCs w:val="24"/>
        </w:rPr>
        <w:t xml:space="preserve"> analisi</w:t>
      </w:r>
    </w:p>
    <w:p w14:paraId="03D201EF" w14:textId="7AE8730E" w:rsidR="00397FE2" w:rsidRPr="009E0F8F" w:rsidRDefault="003420B0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177E3">
        <w:rPr>
          <w:rFonts w:asciiTheme="minorHAnsi" w:hAnsiTheme="minorHAnsi" w:cstheme="minorHAnsi"/>
          <w:sz w:val="24"/>
          <w:szCs w:val="24"/>
        </w:rPr>
        <w:t xml:space="preserve">Il Laboratorio è equipaggiato </w:t>
      </w:r>
      <w:proofErr w:type="gramStart"/>
      <w:r w:rsidR="005177E3">
        <w:rPr>
          <w:rFonts w:asciiTheme="minorHAnsi" w:hAnsiTheme="minorHAnsi" w:cstheme="minorHAnsi"/>
          <w:sz w:val="24"/>
          <w:szCs w:val="24"/>
        </w:rPr>
        <w:t xml:space="preserve">per </w:t>
      </w:r>
      <w:r w:rsidRPr="009E0F8F">
        <w:rPr>
          <w:rFonts w:asciiTheme="minorHAnsi" w:hAnsiTheme="minorHAnsi" w:cstheme="minorHAnsi"/>
          <w:sz w:val="24"/>
          <w:szCs w:val="24"/>
        </w:rPr>
        <w:t xml:space="preserve"> Microscopia</w:t>
      </w:r>
      <w:proofErr w:type="gramEnd"/>
      <w:r w:rsidRPr="009E0F8F">
        <w:rPr>
          <w:rFonts w:asciiTheme="minorHAnsi" w:hAnsiTheme="minorHAnsi" w:cstheme="minorHAnsi"/>
          <w:sz w:val="24"/>
          <w:szCs w:val="24"/>
        </w:rPr>
        <w:t xml:space="preserve"> </w:t>
      </w:r>
      <w:r w:rsidR="003A5717" w:rsidRPr="009E0F8F">
        <w:rPr>
          <w:rFonts w:asciiTheme="minorHAnsi" w:hAnsiTheme="minorHAnsi" w:cstheme="minorHAnsi"/>
          <w:sz w:val="24"/>
          <w:szCs w:val="24"/>
        </w:rPr>
        <w:t>C</w:t>
      </w:r>
      <w:r w:rsidRPr="009E0F8F">
        <w:rPr>
          <w:rFonts w:asciiTheme="minorHAnsi" w:hAnsiTheme="minorHAnsi" w:cstheme="minorHAnsi"/>
          <w:sz w:val="24"/>
          <w:szCs w:val="24"/>
        </w:rPr>
        <w:t xml:space="preserve">orrelativa </w:t>
      </w:r>
      <w:r w:rsidR="003A5717" w:rsidRPr="009E0F8F">
        <w:rPr>
          <w:rFonts w:asciiTheme="minorHAnsi" w:hAnsiTheme="minorHAnsi" w:cstheme="minorHAnsi"/>
          <w:sz w:val="24"/>
          <w:szCs w:val="24"/>
        </w:rPr>
        <w:t>(</w:t>
      </w:r>
      <w:r w:rsidRPr="009E0F8F">
        <w:rPr>
          <w:rFonts w:asciiTheme="minorHAnsi" w:hAnsiTheme="minorHAnsi" w:cstheme="minorHAnsi"/>
          <w:sz w:val="24"/>
          <w:szCs w:val="24"/>
        </w:rPr>
        <w:t>CLE</w:t>
      </w:r>
      <w:r w:rsidR="00397FE2" w:rsidRPr="009E0F8F">
        <w:rPr>
          <w:rFonts w:asciiTheme="minorHAnsi" w:hAnsiTheme="minorHAnsi" w:cstheme="minorHAnsi"/>
          <w:sz w:val="24"/>
          <w:szCs w:val="24"/>
        </w:rPr>
        <w:t>M</w:t>
      </w:r>
      <w:r w:rsidR="003A5717" w:rsidRPr="009E0F8F">
        <w:rPr>
          <w:rFonts w:asciiTheme="minorHAnsi" w:hAnsiTheme="minorHAnsi" w:cstheme="minorHAnsi"/>
          <w:sz w:val="24"/>
          <w:szCs w:val="24"/>
        </w:rPr>
        <w:t>)</w:t>
      </w:r>
      <w:r w:rsidR="009E0F8F">
        <w:rPr>
          <w:rFonts w:asciiTheme="minorHAnsi" w:hAnsiTheme="minorHAnsi" w:cstheme="minorHAnsi"/>
          <w:sz w:val="24"/>
          <w:szCs w:val="24"/>
        </w:rPr>
        <w:t>.</w:t>
      </w:r>
    </w:p>
    <w:p w14:paraId="79ED0D43" w14:textId="77777777" w:rsidR="00397FE2" w:rsidRPr="009E0F8F" w:rsidRDefault="00397FE2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</w:p>
    <w:p w14:paraId="4C085C06" w14:textId="77777777" w:rsidR="00397FE2" w:rsidRPr="009E0F8F" w:rsidRDefault="00397FE2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</w:p>
    <w:p w14:paraId="7A847EF2" w14:textId="77777777" w:rsidR="00397FE2" w:rsidRPr="009E0F8F" w:rsidRDefault="00397FE2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</w:p>
    <w:p w14:paraId="4E309445" w14:textId="77777777" w:rsidR="00397FE2" w:rsidRPr="009E0F8F" w:rsidRDefault="00397FE2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</w:p>
    <w:p w14:paraId="11B6D35C" w14:textId="77777777" w:rsidR="00397FE2" w:rsidRPr="009E0F8F" w:rsidRDefault="00397FE2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</w:p>
    <w:p w14:paraId="34773E79" w14:textId="77777777" w:rsidR="00397FE2" w:rsidRPr="009E0F8F" w:rsidRDefault="00397FE2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</w:p>
    <w:p w14:paraId="0ACC6405" w14:textId="77777777" w:rsidR="00397FE2" w:rsidRPr="009E0F8F" w:rsidRDefault="00397FE2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</w:p>
    <w:p w14:paraId="0F3B03DB" w14:textId="5DA47FEC" w:rsidR="00316583" w:rsidRPr="00316583" w:rsidRDefault="00316583" w:rsidP="00397FE2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  <w:r w:rsidRPr="00316583">
        <w:rPr>
          <w:rFonts w:asciiTheme="minorHAnsi" w:eastAsia="Times New Roman" w:hAnsiTheme="minorHAnsi" w:cstheme="minorHAnsi"/>
          <w:color w:val="9B0014"/>
          <w:kern w:val="0"/>
          <w:sz w:val="30"/>
          <w:szCs w:val="30"/>
          <w:lang w:eastAsia="it-IT"/>
        </w:rPr>
        <w:t>Regolamento</w:t>
      </w:r>
    </w:p>
    <w:p w14:paraId="660F992F" w14:textId="77777777" w:rsidR="00316583" w:rsidRPr="00316583" w:rsidRDefault="00316583" w:rsidP="00316583">
      <w:pPr>
        <w:widowControl/>
        <w:suppressAutoHyphens w:val="0"/>
        <w:autoSpaceDN/>
        <w:spacing w:before="559" w:after="559" w:line="221" w:lineRule="atLeast"/>
        <w:jc w:val="both"/>
        <w:textAlignment w:val="auto"/>
        <w:outlineLvl w:val="5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it-IT"/>
        </w:rPr>
        <w:t>Art.1</w:t>
      </w:r>
    </w:p>
    <w:p w14:paraId="7F749BDA" w14:textId="2BF6B9E7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Il </w:t>
      </w:r>
      <w:r w:rsidR="005177E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Laboratorio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="00700BD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CLEM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del Dipartimento di </w:t>
      </w:r>
      <w:r w:rsidR="000E2A55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Scienze Biomediche e Sanità Pubblica (DISBSP)</w:t>
      </w:r>
      <w:r w:rsidR="0099613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="00FF7ACA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operante principalmente in </w:t>
      </w:r>
      <w:r w:rsidR="00FF7ACA" w:rsidRPr="002B7E11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ambito biomedico</w:t>
      </w:r>
      <w:r w:rsidR="00FF7ACA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 mette a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disposizione tecniche di microscopia</w:t>
      </w:r>
      <w:r w:rsidR="002B7E11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ottica, microscopia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="000E2A55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confocale e</w:t>
      </w:r>
      <w:r w:rsidR="00FF7ACA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</w:t>
      </w:r>
      <w:r w:rsidR="000E2A55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elettronica a scansione per i ricercatori </w:t>
      </w:r>
      <w:r w:rsidR="00FF7ACA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del Dipartimento,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dell’Ateneo</w:t>
      </w:r>
      <w:r w:rsidR="00FF7ACA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per eventuale utenza esterna che ne faccia richiesta, subordinatamente </w:t>
      </w:r>
      <w:r w:rsidR="00FF7ACA"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alle esigenze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interne.</w:t>
      </w:r>
      <w:r w:rsidR="00BC52DA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L’attività del Laboratorio è rivolta anche agli studenti nell’ambito dell’iter formativo e preparazione di tesi e formazione post-laurea.</w:t>
      </w:r>
    </w:p>
    <w:p w14:paraId="378BFD19" w14:textId="4A80975C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Le modalità e i tempi di esecuzione delle prestazioni per gli utenti esterni sono stabiliti di volta in volta dai responsabili del servizio nel rispetto del </w:t>
      </w:r>
      <w:r w:rsidRPr="002B7E11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regolamento di Ateneo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per le prestazioni in conto terzi.</w:t>
      </w:r>
    </w:p>
    <w:p w14:paraId="10796826" w14:textId="40029851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Il servizio sarà coordinato da </w:t>
      </w:r>
      <w:r w:rsidR="005177E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un Responsabile Scientifico </w:t>
      </w:r>
      <w:r w:rsidR="00D53FE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nominato</w:t>
      </w:r>
      <w:r w:rsidR="005177E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="00D53FE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dal Direttore del Dipartimento </w:t>
      </w:r>
      <w:r w:rsidR="005177E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tra il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personale docente</w:t>
      </w:r>
      <w:r w:rsidR="005177E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, </w:t>
      </w:r>
      <w:r w:rsidR="000E2A55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ch</w:t>
      </w:r>
      <w:r w:rsidR="00394517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e sovraintende</w:t>
      </w:r>
      <w:r w:rsidR="005177E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alla gestione</w:t>
      </w:r>
      <w:r w:rsidR="00193C3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e al</w:t>
      </w:r>
      <w:r w:rsidR="00394517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coordina</w:t>
      </w:r>
      <w:r w:rsidR="00193C3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mento</w:t>
      </w:r>
      <w:r w:rsidR="00394517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="00193C3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del</w:t>
      </w:r>
      <w:r w:rsidR="00394517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le attività e </w:t>
      </w:r>
      <w:r w:rsidR="00193C3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cura </w:t>
      </w:r>
      <w:r w:rsidR="00394517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l’elaborazione dei programmi scientifici, formativi e di sviluppo del </w:t>
      </w:r>
      <w:r w:rsidR="00193C3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Laboratorio</w:t>
      </w:r>
      <w:r w:rsidR="00585FC2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, coadiuvato da </w:t>
      </w:r>
      <w:r w:rsidR="00700BD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un</w:t>
      </w:r>
      <w:r w:rsidR="00585FC2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corresponsabil</w:t>
      </w:r>
      <w:r w:rsidR="00700BD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e</w:t>
      </w:r>
      <w:r w:rsidR="00585FC2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scientific</w:t>
      </w:r>
      <w:r w:rsidR="00700BD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o</w:t>
      </w:r>
      <w:r w:rsidR="00585FC2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per l’area di microscopia ottica</w:t>
      </w:r>
      <w:r w:rsidR="00700BD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 anch’esso</w:t>
      </w:r>
      <w:r w:rsidR="00D77F9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="00700BD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nominato dal Direttore dl Dipartimento</w:t>
      </w:r>
      <w:r w:rsidR="00585FC2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.</w:t>
      </w:r>
      <w:r w:rsidR="00394517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Saranno inoltre </w:t>
      </w:r>
      <w:r w:rsidR="000E2A55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presenti unità di personale tecnico dedi</w:t>
      </w:r>
      <w:r w:rsidR="0099613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c</w:t>
      </w:r>
      <w:r w:rsidR="000E2A55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ato</w:t>
      </w:r>
      <w:r w:rsidR="00D53FE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 parimenti designate dal Direttore del Dipartimento,</w:t>
      </w:r>
      <w:r w:rsidR="000E2A55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che saranno responsabili:</w:t>
      </w:r>
    </w:p>
    <w:p w14:paraId="1C9D38E6" w14:textId="77777777" w:rsidR="00316583" w:rsidRPr="00316583" w:rsidRDefault="00316583" w:rsidP="00996135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 delle attività di consulenza tecnica e applicativa,</w:t>
      </w:r>
    </w:p>
    <w:p w14:paraId="569C80C8" w14:textId="77777777" w:rsidR="00316583" w:rsidRPr="00316583" w:rsidRDefault="00316583" w:rsidP="00996135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 della gestione tecnica dei laboratori,</w:t>
      </w:r>
    </w:p>
    <w:p w14:paraId="4D055F75" w14:textId="77777777" w:rsidR="00316583" w:rsidRPr="00316583" w:rsidRDefault="00316583" w:rsidP="00996135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 delle attività finalizzate all’aggiornamento delle tecniche,</w:t>
      </w:r>
    </w:p>
    <w:p w14:paraId="622BED6F" w14:textId="7A6F347D" w:rsidR="00316583" w:rsidRPr="00316583" w:rsidRDefault="00316583" w:rsidP="00996135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 delle procedure e </w:t>
      </w:r>
      <w:r w:rsidR="00364A3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della cura degli strumenti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</w:t>
      </w:r>
    </w:p>
    <w:p w14:paraId="4A40A4AC" w14:textId="2D509B0D" w:rsidR="00316583" w:rsidRPr="00316583" w:rsidRDefault="00316583" w:rsidP="00996135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 delle attività di addestramento </w:t>
      </w:r>
      <w:r w:rsidR="00193C3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e formazione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degli utenti,</w:t>
      </w:r>
      <w:r w:rsidR="00193C3F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</w:p>
    <w:p w14:paraId="2CFA4329" w14:textId="77777777" w:rsidR="00316583" w:rsidRPr="00316583" w:rsidRDefault="00316583" w:rsidP="00996135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 dell’aggiornamento delle attrezzature,</w:t>
      </w:r>
    </w:p>
    <w:p w14:paraId="17EF4C38" w14:textId="77777777" w:rsidR="00316583" w:rsidRPr="00316583" w:rsidRDefault="00316583" w:rsidP="00996135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 w:line="360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 della cura dei rapporti con gli utenti esterni</w:t>
      </w:r>
    </w:p>
    <w:p w14:paraId="5515E5D0" w14:textId="77777777" w:rsidR="000E2A55" w:rsidRDefault="000E2A55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</w:p>
    <w:p w14:paraId="3A064563" w14:textId="77777777" w:rsidR="00F0071E" w:rsidRPr="00503FF3" w:rsidRDefault="00F0071E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</w:p>
    <w:p w14:paraId="4160215F" w14:textId="77777777" w:rsidR="00316583" w:rsidRPr="00316583" w:rsidRDefault="00316583" w:rsidP="00996135">
      <w:pPr>
        <w:widowControl/>
        <w:suppressAutoHyphens w:val="0"/>
        <w:autoSpaceDN/>
        <w:spacing w:before="559" w:after="559" w:line="221" w:lineRule="atLeast"/>
        <w:jc w:val="both"/>
        <w:textAlignment w:val="auto"/>
        <w:outlineLvl w:val="5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it-IT"/>
        </w:rPr>
        <w:t>Art.2</w:t>
      </w:r>
    </w:p>
    <w:p w14:paraId="1FECFE86" w14:textId="285A9455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lastRenderedPageBreak/>
        <w:t xml:space="preserve">Possono accedere al </w:t>
      </w:r>
      <w:r w:rsidR="00F57664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servizio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ed utilizzarne le attrezzature gli utenti interni e i loro collaboratori autorizzati.</w:t>
      </w:r>
    </w:p>
    <w:p w14:paraId="27378C25" w14:textId="2B3814B8" w:rsidR="003A5717" w:rsidRPr="00503FF3" w:rsidRDefault="003A5717" w:rsidP="00996135">
      <w:pPr>
        <w:suppressAutoHyphens w:val="0"/>
        <w:autoSpaceDN/>
        <w:spacing w:line="408" w:lineRule="atLeast"/>
        <w:jc w:val="both"/>
        <w:textAlignment w:val="auto"/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</w:pPr>
      <w:r w:rsidRPr="00503FF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Utenti qualificati possono essere abilitati all’uso diretto della strumentazione. Tale accesso deve essere rigorosamente disciplinato da parte del personale dell’area. L’uso corretto delle strumentazioni viene garantito attraverso procedure di </w:t>
      </w:r>
      <w:r w:rsidR="00110C67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verifica delle competenze e </w:t>
      </w:r>
      <w:r w:rsidR="00BC52DA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addes</w:t>
      </w:r>
      <w:r w:rsidR="00110C67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tr</w:t>
      </w:r>
      <w:r w:rsidR="00BC52DA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amento</w:t>
      </w:r>
      <w:r w:rsidRPr="00503FF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.</w:t>
      </w:r>
    </w:p>
    <w:p w14:paraId="61ED1951" w14:textId="2E0E6B64" w:rsidR="00316583" w:rsidRPr="00CE6A30" w:rsidRDefault="00316583" w:rsidP="00CE6A30">
      <w:pPr>
        <w:suppressAutoHyphens w:val="0"/>
        <w:autoSpaceDN/>
        <w:spacing w:line="408" w:lineRule="atLeast"/>
        <w:jc w:val="both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Questi utenti</w:t>
      </w:r>
      <w:r w:rsidR="00F57664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potranno utilizzare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la modalità SELF-SERVICE (</w:t>
      </w:r>
      <w:hyperlink r:id="rId10" w:tooltip="Opens internal link in current window" w:history="1">
        <w:r w:rsidRPr="00316583">
          <w:rPr>
            <w:rFonts w:asciiTheme="minorHAnsi" w:eastAsia="Times New Roman" w:hAnsiTheme="minorHAnsi" w:cstheme="minorHAnsi"/>
            <w:color w:val="000000" w:themeColor="text1"/>
            <w:kern w:val="0"/>
            <w:sz w:val="24"/>
            <w:szCs w:val="24"/>
            <w:u w:val="single"/>
            <w:lang w:eastAsia="it-IT"/>
          </w:rPr>
          <w:t>vedi tariffario</w:t>
        </w:r>
      </w:hyperlink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) per i diversi strumenti</w:t>
      </w:r>
      <w:r w:rsidR="00F57664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.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="00F57664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L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e osservazioni vengono effettuate dal</w:t>
      </w:r>
      <w:r w:rsidR="00F57664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l’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utente</w:t>
      </w:r>
      <w:r w:rsidR="00585FC2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e</w:t>
      </w:r>
      <w:r w:rsidR="00F57664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durante l’orario di lavoro</w:t>
      </w:r>
      <w:r w:rsidR="009A15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viene garantita l’assistenza e la consulenza da parte del personale tecnico presente.</w:t>
      </w:r>
      <w:r w:rsidR="003A5717" w:rsidRPr="00503F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FF132EF" w14:textId="6DEFFA10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L’utilizzo di uno strumento in modalità self-service </w:t>
      </w:r>
      <w:r w:rsidR="00E14925"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deve comunque essere preventivamente autorizzato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da</w:t>
      </w:r>
      <w:r w:rsidR="00E1492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i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responsabil</w:t>
      </w:r>
      <w:r w:rsidR="00E1492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i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del servizio.</w:t>
      </w:r>
    </w:p>
    <w:p w14:paraId="440276DC" w14:textId="18B534D3" w:rsidR="00CE6A30" w:rsidRDefault="00CE6A30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Il personale afferente al Dipartimento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di </w:t>
      </w:r>
      <w:r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Scienze Biomediche e Sanità Pubblica (DISBSP)</w:t>
      </w:r>
      <w:r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ha priorità di utilizzo, previa autorizzazione da parte dei Responsabili.</w:t>
      </w:r>
    </w:p>
    <w:p w14:paraId="69407097" w14:textId="235D6756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Gli utenti non autorizzati del Dipartimento, gli utenti dell’Ateneo, gli utenti di altri Atenei e gli utenti di enti di ricerca o aziende private, NON POSSONO accedere autonomamente agli strumenti </w:t>
      </w:r>
      <w:r w:rsidR="009A15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del servizio</w:t>
      </w:r>
      <w:r w:rsidR="000D74ED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.</w:t>
      </w:r>
      <w:r w:rsidR="00CE6A30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Questi utenti utilizzeranno la modalità FULL-SERVICE (</w:t>
      </w:r>
      <w:hyperlink r:id="rId11" w:tooltip="Opens internal link in current window" w:history="1">
        <w:r w:rsidRPr="00316583">
          <w:rPr>
            <w:rFonts w:asciiTheme="minorHAnsi" w:eastAsia="Times New Roman" w:hAnsiTheme="minorHAnsi" w:cstheme="minorHAnsi"/>
            <w:color w:val="000000" w:themeColor="text1"/>
            <w:kern w:val="0"/>
            <w:sz w:val="24"/>
            <w:szCs w:val="24"/>
            <w:u w:val="single"/>
            <w:lang w:eastAsia="it-IT"/>
          </w:rPr>
          <w:t>vedi tariffario</w:t>
        </w:r>
      </w:hyperlink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): le osservazioni e le prestazioni per la preparazione dei campioni vengono effettuate dal personale del servizio indipendentemente dalla presenza dell’utente e secondo il calendario prestabilito.</w:t>
      </w:r>
    </w:p>
    <w:p w14:paraId="682C4F55" w14:textId="77777777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Le modalità e i tempi di esecuzione delle prestazioni sono stabiliti dai responsabili al momento della richiesta da parte dell’utente in base alla valutazione delle difficoltà presentate dal materiale da analizzare e al tipo di prestazione.</w:t>
      </w:r>
    </w:p>
    <w:p w14:paraId="06EC6119" w14:textId="77777777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In orario di servizio del personale tecnico, gli utenti interni e i loro collaboratori autorizzati possono accedere ai laboratori liberamente mentre è richiesto un accordo preventivo con i responsabili per accesso al di fuori di tali orari.</w:t>
      </w:r>
    </w:p>
    <w:p w14:paraId="3555C12B" w14:textId="7C4F237E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Qualsiasi modifica, anche temporanea di configurazione hardware/software degli strumenti deve essere preventivamente autorizzata dai responsabili.</w:t>
      </w:r>
    </w:p>
    <w:p w14:paraId="35E0543B" w14:textId="0FA84EB6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Chiunque riscontri guasti o malfunzionamenti degli strumenti è tenuto a segnalarlo immediatamente al personale tecnico e ad annotarlo nel registro di utenza che sarà disponibile per ogni strumento.</w:t>
      </w:r>
      <w:r w:rsidR="00E1492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La violazione di questa disposizione comporta l’esclusione dall’utilizzo della strumentazione.</w:t>
      </w:r>
    </w:p>
    <w:p w14:paraId="7A0C2B74" w14:textId="1DA0CA06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Al termine delle attività, l’utente è tenuto a riportare lo strumento nello stato iniziale standard e a lasciare </w:t>
      </w:r>
      <w:r w:rsidR="009A15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pulito</w:t>
      </w:r>
      <w:r w:rsidR="000D74ED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e</w:t>
      </w:r>
      <w:r w:rsidR="009A15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in ordine </w:t>
      </w:r>
      <w:r w:rsidR="00A717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lo strumento e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il posto di lavoro</w:t>
      </w:r>
      <w:r w:rsidR="00110C67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 condizioni che saranno verificat</w:t>
      </w:r>
      <w:r w:rsidR="00E1492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e</w:t>
      </w:r>
      <w:r w:rsidR="00110C67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dal personale di laboratorio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.</w:t>
      </w:r>
    </w:p>
    <w:p w14:paraId="3FEC010B" w14:textId="77777777" w:rsidR="00316583" w:rsidRPr="00316583" w:rsidRDefault="00316583" w:rsidP="00996135">
      <w:pPr>
        <w:widowControl/>
        <w:suppressAutoHyphens w:val="0"/>
        <w:autoSpaceDN/>
        <w:spacing w:before="559" w:after="559" w:line="221" w:lineRule="atLeast"/>
        <w:jc w:val="both"/>
        <w:textAlignment w:val="auto"/>
        <w:outlineLvl w:val="5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it-IT"/>
        </w:rPr>
        <w:t>Art.3</w:t>
      </w:r>
    </w:p>
    <w:p w14:paraId="5BF0DF3B" w14:textId="5458436E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Allo scopo di far fronte alle spese di manutenzione e di esercizio del servizio, le attività </w:t>
      </w:r>
      <w:r w:rsidR="008C25E1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i osservazione e le prestazioni per la preparazione dei campioni sono soggette ad un regime tariffario che prevede tariffe differenziate relative alle diverse </w:t>
      </w:r>
      <w:r w:rsidR="00110C67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tipologie e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modalità di accesso degli utenti come descritto all’art 2.</w:t>
      </w:r>
    </w:p>
    <w:p w14:paraId="42B0CB47" w14:textId="77777777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Il tariffario verrà aggiornato annualmente in base al costo di gestione previsto per ogni apparecchiatura.</w:t>
      </w:r>
    </w:p>
    <w:p w14:paraId="13732B67" w14:textId="7BEBCBAF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Gli addebiti agli utenti interni verranno effettuati semestralmente</w:t>
      </w:r>
      <w:r w:rsidR="00E1492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o tramite</w:t>
      </w:r>
      <w:r w:rsidR="00A717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un abbonamento annuale </w:t>
      </w:r>
      <w:proofErr w:type="spellStart"/>
      <w:r w:rsidR="00A717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pre</w:t>
      </w:r>
      <w:proofErr w:type="spellEnd"/>
      <w:r w:rsidR="00E1492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-</w:t>
      </w:r>
      <w:r w:rsidR="00A717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utilizzo</w:t>
      </w:r>
      <w:r w:rsidR="00E14925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, a seconda delle esigenze di utilizzazione.</w:t>
      </w:r>
    </w:p>
    <w:p w14:paraId="02AD9F38" w14:textId="189C1D4A" w:rsidR="00316583" w:rsidRPr="00316583" w:rsidRDefault="00316583" w:rsidP="00996135">
      <w:pPr>
        <w:widowControl/>
        <w:suppressAutoHyphens w:val="0"/>
        <w:autoSpaceDN/>
        <w:spacing w:before="240" w:after="240" w:line="408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Le entrate verranno accreditate in apposito capitolo e verranno utilizzate per l’acquisto di </w:t>
      </w:r>
      <w:r w:rsidR="00E626A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reagenti e materiali per l’analisi,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parti di ricambio, filamenti, per i contratti di manutenzione degli strumenti, </w:t>
      </w:r>
      <w:r w:rsidR="00A717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gas tecnici,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per </w:t>
      </w:r>
      <w:proofErr w:type="gramStart"/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l’ acquisto</w:t>
      </w:r>
      <w:proofErr w:type="gramEnd"/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di eventuali nuove strumentazioni che implementino il servizio, per eventuali interventi di riparazione</w:t>
      </w:r>
      <w:r w:rsidR="00A7173C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.</w:t>
      </w:r>
    </w:p>
    <w:p w14:paraId="2828FCE1" w14:textId="77777777" w:rsidR="00A7173C" w:rsidRPr="00503FF3" w:rsidRDefault="00316583" w:rsidP="00996135">
      <w:pPr>
        <w:widowControl/>
        <w:suppressAutoHyphens w:val="0"/>
        <w:autoSpaceDN/>
        <w:spacing w:before="559" w:after="559" w:line="221" w:lineRule="atLeast"/>
        <w:jc w:val="both"/>
        <w:textAlignment w:val="auto"/>
        <w:outlineLvl w:val="5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it-IT"/>
        </w:rPr>
        <w:t>Art.4</w:t>
      </w:r>
    </w:p>
    <w:p w14:paraId="7F8C7E16" w14:textId="51A3FC99" w:rsidR="00316583" w:rsidRPr="00503FF3" w:rsidRDefault="00316583" w:rsidP="00996135">
      <w:pPr>
        <w:widowControl/>
        <w:suppressAutoHyphens w:val="0"/>
        <w:autoSpaceDN/>
        <w:spacing w:before="559" w:after="559" w:line="221" w:lineRule="atLeast"/>
        <w:jc w:val="both"/>
        <w:textAlignment w:val="auto"/>
        <w:outlineLvl w:val="5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</w:pP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I risultati ottenuti con l’utilizzo del servizio di microscopia elettronica del Dipartimento di </w:t>
      </w:r>
      <w:r w:rsidR="006549F6" w:rsidRPr="00503FF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Scienze Biomediche e Sanità Pubblica 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dovranno essere ufficialmente riconosciuti nei ringraziamenti delle pubblicazioni</w:t>
      </w:r>
      <w:r w:rsidR="00E626A4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 xml:space="preserve"> nel caso in cui il personale che vi ha collaborato non sia espressamente citato tra gli autori</w:t>
      </w:r>
      <w:r w:rsidRPr="00316583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it-IT"/>
        </w:rPr>
        <w:t>.</w:t>
      </w:r>
    </w:p>
    <w:p w14:paraId="674C2518" w14:textId="77777777" w:rsidR="007601FB" w:rsidRPr="007601FB" w:rsidRDefault="007601FB" w:rsidP="007601FB">
      <w:pPr>
        <w:pStyle w:val="NormaleWeb"/>
        <w:spacing w:before="240" w:after="200"/>
        <w:jc w:val="both"/>
        <w:rPr>
          <w:rFonts w:asciiTheme="minorHAnsi" w:hAnsiTheme="minorHAnsi" w:cstheme="minorHAnsi"/>
          <w:b/>
          <w:bCs/>
        </w:rPr>
      </w:pPr>
      <w:r w:rsidRPr="007601FB">
        <w:rPr>
          <w:rFonts w:asciiTheme="minorHAnsi" w:hAnsiTheme="minorHAnsi" w:cstheme="minorHAnsi"/>
          <w:b/>
          <w:bCs/>
        </w:rPr>
        <w:t>Art.5</w:t>
      </w:r>
    </w:p>
    <w:p w14:paraId="5D57A688" w14:textId="251035CF" w:rsidR="007601FB" w:rsidRDefault="007601FB" w:rsidP="007601FB">
      <w:pPr>
        <w:pStyle w:val="NormaleWeb"/>
        <w:spacing w:before="240" w:after="200"/>
        <w:jc w:val="both"/>
        <w:rPr>
          <w:rFonts w:asciiTheme="minorHAnsi" w:hAnsiTheme="minorHAnsi" w:cstheme="minorHAnsi"/>
        </w:rPr>
      </w:pPr>
      <w:r w:rsidRPr="009E0F8F">
        <w:rPr>
          <w:rFonts w:asciiTheme="minorHAnsi" w:hAnsiTheme="minorHAnsi" w:cstheme="minorHAnsi"/>
        </w:rPr>
        <w:t>Il presente regolamento è suscettibile di revisioni e aggiornamenti.</w:t>
      </w:r>
    </w:p>
    <w:p w14:paraId="79ECFCAB" w14:textId="77777777" w:rsidR="00737AE5" w:rsidRPr="009E0F8F" w:rsidRDefault="00737AE5" w:rsidP="007601FB">
      <w:pPr>
        <w:pStyle w:val="NormaleWeb"/>
        <w:spacing w:before="240" w:after="200"/>
        <w:jc w:val="both"/>
        <w:rPr>
          <w:rFonts w:asciiTheme="minorHAnsi" w:hAnsiTheme="minorHAnsi" w:cstheme="minorHAnsi"/>
        </w:rPr>
      </w:pPr>
    </w:p>
    <w:p w14:paraId="14D2A3E5" w14:textId="77777777" w:rsidR="00CE6A30" w:rsidRDefault="00CE6A30" w:rsidP="00996135">
      <w:pPr>
        <w:pStyle w:val="NormaleWeb"/>
        <w:spacing w:before="240" w:after="200"/>
        <w:jc w:val="both"/>
        <w:rPr>
          <w:rFonts w:asciiTheme="minorHAnsi" w:hAnsiTheme="minorHAnsi" w:cstheme="minorHAnsi"/>
          <w:b/>
          <w:bCs/>
          <w:color w:val="333333"/>
          <w:kern w:val="0"/>
        </w:rPr>
      </w:pPr>
    </w:p>
    <w:p w14:paraId="59D8AD41" w14:textId="77777777" w:rsidR="00C0599E" w:rsidRPr="009E0F8F" w:rsidRDefault="00C0599E" w:rsidP="00996135">
      <w:pPr>
        <w:pStyle w:val="NormaleWeb"/>
        <w:spacing w:before="240" w:after="200"/>
        <w:jc w:val="both"/>
        <w:rPr>
          <w:rFonts w:asciiTheme="minorHAnsi" w:hAnsiTheme="minorHAnsi" w:cstheme="minorHAnsi"/>
        </w:rPr>
      </w:pPr>
    </w:p>
    <w:sectPr w:rsidR="00C0599E" w:rsidRPr="009E0F8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2244" w14:textId="77777777" w:rsidR="00D90A22" w:rsidRDefault="00D90A22">
      <w:r>
        <w:separator/>
      </w:r>
    </w:p>
  </w:endnote>
  <w:endnote w:type="continuationSeparator" w:id="0">
    <w:p w14:paraId="6A73D0DB" w14:textId="77777777" w:rsidR="00D90A22" w:rsidRDefault="00D9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EA826" w14:textId="77777777" w:rsidR="00D90A22" w:rsidRDefault="00D90A22">
      <w:r>
        <w:rPr>
          <w:color w:val="000000"/>
        </w:rPr>
        <w:separator/>
      </w:r>
    </w:p>
  </w:footnote>
  <w:footnote w:type="continuationSeparator" w:id="0">
    <w:p w14:paraId="0289A1DD" w14:textId="77777777" w:rsidR="00D90A22" w:rsidRDefault="00D9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7B2D"/>
    <w:multiLevelType w:val="multilevel"/>
    <w:tmpl w:val="85663800"/>
    <w:styleLink w:val="WWNum1"/>
    <w:lvl w:ilvl="0">
      <w:start w:val="1"/>
      <w:numFmt w:val="decimal"/>
      <w:lvlText w:val="%1)"/>
      <w:lvlJc w:val="left"/>
      <w:pPr>
        <w:ind w:left="2138" w:hanging="360"/>
      </w:pPr>
      <w:rPr>
        <w:rFonts w:ascii="Times New Roman" w:hAnsi="Times New Roman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40B1228"/>
    <w:multiLevelType w:val="multilevel"/>
    <w:tmpl w:val="900CB4E2"/>
    <w:styleLink w:val="WW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8671F1D"/>
    <w:multiLevelType w:val="multilevel"/>
    <w:tmpl w:val="85626848"/>
    <w:styleLink w:val="WWNum2"/>
    <w:lvl w:ilvl="0">
      <w:start w:val="1"/>
      <w:numFmt w:val="lowerLetter"/>
      <w:lvlText w:val="%1)"/>
      <w:lvlJc w:val="left"/>
      <w:pPr>
        <w:ind w:left="795" w:hanging="227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2E4875"/>
    <w:multiLevelType w:val="multilevel"/>
    <w:tmpl w:val="D3285080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1E57676"/>
    <w:multiLevelType w:val="multilevel"/>
    <w:tmpl w:val="AA38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74B4D"/>
    <w:multiLevelType w:val="hybridMultilevel"/>
    <w:tmpl w:val="E77C225E"/>
    <w:lvl w:ilvl="0" w:tplc="DA1610EA">
      <w:start w:val="1"/>
      <w:numFmt w:val="decimal"/>
      <w:lvlText w:val="%1-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8CB522E"/>
    <w:multiLevelType w:val="multilevel"/>
    <w:tmpl w:val="0860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204891">
    <w:abstractNumId w:val="3"/>
  </w:num>
  <w:num w:numId="2" w16cid:durableId="1865751984">
    <w:abstractNumId w:val="0"/>
  </w:num>
  <w:num w:numId="3" w16cid:durableId="425688296">
    <w:abstractNumId w:val="2"/>
  </w:num>
  <w:num w:numId="4" w16cid:durableId="1628317018">
    <w:abstractNumId w:val="1"/>
  </w:num>
  <w:num w:numId="5" w16cid:durableId="1387879530">
    <w:abstractNumId w:val="0"/>
    <w:lvlOverride w:ilvl="0">
      <w:startOverride w:val="1"/>
    </w:lvlOverride>
  </w:num>
  <w:num w:numId="6" w16cid:durableId="691228959">
    <w:abstractNumId w:val="4"/>
    <w:lvlOverride w:ilvl="0">
      <w:startOverride w:val="1"/>
    </w:lvlOverride>
  </w:num>
  <w:num w:numId="7" w16cid:durableId="691228959">
    <w:abstractNumId w:val="4"/>
    <w:lvlOverride w:ilvl="0">
      <w:startOverride w:val="2"/>
    </w:lvlOverride>
  </w:num>
  <w:num w:numId="8" w16cid:durableId="691228959">
    <w:abstractNumId w:val="4"/>
    <w:lvlOverride w:ilvl="0">
      <w:startOverride w:val="3"/>
    </w:lvlOverride>
  </w:num>
  <w:num w:numId="9" w16cid:durableId="1535536360">
    <w:abstractNumId w:val="5"/>
  </w:num>
  <w:num w:numId="10" w16cid:durableId="461504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36"/>
    <w:rsid w:val="0004071F"/>
    <w:rsid w:val="00071DDF"/>
    <w:rsid w:val="000B6C27"/>
    <w:rsid w:val="000D74ED"/>
    <w:rsid w:val="000E2A55"/>
    <w:rsid w:val="00110C67"/>
    <w:rsid w:val="00185664"/>
    <w:rsid w:val="00193C3F"/>
    <w:rsid w:val="001A042B"/>
    <w:rsid w:val="002B7BEA"/>
    <w:rsid w:val="002B7E11"/>
    <w:rsid w:val="002F1636"/>
    <w:rsid w:val="00316583"/>
    <w:rsid w:val="00323DC0"/>
    <w:rsid w:val="003420B0"/>
    <w:rsid w:val="00364A34"/>
    <w:rsid w:val="00394517"/>
    <w:rsid w:val="00397FE2"/>
    <w:rsid w:val="003A5717"/>
    <w:rsid w:val="003A772B"/>
    <w:rsid w:val="00410A21"/>
    <w:rsid w:val="00426AF9"/>
    <w:rsid w:val="00433360"/>
    <w:rsid w:val="00503FF3"/>
    <w:rsid w:val="00504D0B"/>
    <w:rsid w:val="005177E3"/>
    <w:rsid w:val="00537A0C"/>
    <w:rsid w:val="00585FC2"/>
    <w:rsid w:val="006549F6"/>
    <w:rsid w:val="00690835"/>
    <w:rsid w:val="006D2B08"/>
    <w:rsid w:val="007008C5"/>
    <w:rsid w:val="00700BDF"/>
    <w:rsid w:val="00737AE5"/>
    <w:rsid w:val="007601FB"/>
    <w:rsid w:val="007B0EED"/>
    <w:rsid w:val="00866BD3"/>
    <w:rsid w:val="008C25E1"/>
    <w:rsid w:val="00996135"/>
    <w:rsid w:val="009A153C"/>
    <w:rsid w:val="009E0F8F"/>
    <w:rsid w:val="00A7173C"/>
    <w:rsid w:val="00A94E41"/>
    <w:rsid w:val="00AD03A9"/>
    <w:rsid w:val="00BC52DA"/>
    <w:rsid w:val="00C0599E"/>
    <w:rsid w:val="00CE6A30"/>
    <w:rsid w:val="00D53FE8"/>
    <w:rsid w:val="00D77F9F"/>
    <w:rsid w:val="00D870AA"/>
    <w:rsid w:val="00D90A22"/>
    <w:rsid w:val="00DB19D1"/>
    <w:rsid w:val="00E14925"/>
    <w:rsid w:val="00E626A4"/>
    <w:rsid w:val="00EB45BE"/>
    <w:rsid w:val="00F0071E"/>
    <w:rsid w:val="00F57664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F004"/>
  <w15:docId w15:val="{DC823051-AB3F-411E-8EF8-0C0974D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Droid Sans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BalloonTextChar">
    <w:name w:val="Balloon Text Char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i w:val="0"/>
      <w:color w:val="00000A"/>
      <w:sz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i w:val="0"/>
      <w:color w:val="00000A"/>
      <w:sz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i w:val="0"/>
      <w:color w:val="00000A"/>
      <w:sz w:val="24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i w:val="0"/>
      <w:color w:val="00000A"/>
      <w:sz w:val="24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394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51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D03A9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913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  <w:divsChild>
                <w:div w:id="186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ologia.unipd.it/servizi/servizi-alla-ricerca/servizi-dipartimentali/microscopia-elettronica/tariff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iologia.unipd.it/servizi/servizi-alla-ricerca/servizi-dipartimentali/microscopia-elettronica/tariff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07C1EB2776B419ECBAE1CBAC663ED" ma:contentTypeVersion="11" ma:contentTypeDescription="Creare un nuovo documento." ma:contentTypeScope="" ma:versionID="2a65e12806e6ecd795b4396da5deb0fc">
  <xsd:schema xmlns:xsd="http://www.w3.org/2001/XMLSchema" xmlns:xs="http://www.w3.org/2001/XMLSchema" xmlns:p="http://schemas.microsoft.com/office/2006/metadata/properties" xmlns:ns2="99005b99-da9c-4050-9705-77d6b2d6efc6" targetNamespace="http://schemas.microsoft.com/office/2006/metadata/properties" ma:root="true" ma:fieldsID="7c87a335c571ccf30745edbdb348a66f" ns2:_="">
    <xsd:import namespace="99005b99-da9c-4050-9705-77d6b2d6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5b99-da9c-4050-9705-77d6b2d6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A5C8B-8816-4800-80E7-06D52AF03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C0C91-EAA7-48DA-9514-6C4BD5B52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FC2D7-D5B8-4486-A874-BEF788C1A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5b99-da9c-4050-9705-77d6b2d6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LAURA GRACIOTTI</cp:lastModifiedBy>
  <cp:revision>3</cp:revision>
  <cp:lastPrinted>2022-10-12T11:20:00Z</cp:lastPrinted>
  <dcterms:created xsi:type="dcterms:W3CDTF">2024-11-06T10:37:00Z</dcterms:created>
  <dcterms:modified xsi:type="dcterms:W3CDTF">2024-11-06T10:37:00Z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0x010100A0707C1EB2776B419ECBAE1CBAC663ED</vt:lpwstr>
  </property>
</Properties>
</file>